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left="30" w:firstLine="15"/>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ab/>
        <w:tab/>
        <w:t xml:space="preserve">23 серпня 2016 року</w:t>
        <w:tab/>
        <w:tab/>
        <w:tab/>
        <w:tab/>
        <w:t xml:space="preserve">№ 526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виробничо-комунального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призначення  на  території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Скнилівської сільської ради за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архітектурно-містобудівної ради при відділі містобудування та архітектури Пустомитівської районної державної адміністрації від 22.07.2016 2016 № 3, протокол громадських слухань щодо врахування громадських інтересів під час обговорення детального плану території виробничо-комунального призначення на  території Скнилівської сільської ради за межами населеного пункту від 20.06.2016, проведений Скнилівською сільською радою, клопотання ТзОВ «Фабула Інвест Груп» від 18.07.2016 № 18-07 про затвердження детального плану території виробничо-комунального призначення на території Скнилівської сільської ради за межами населеного пункту: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виробничо-комунального призначення на території Скнилівської  сільської ради за межами населеного пункту, розроблений ТзОВ «Карпати Арх-Проект».</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Перший заступник голови</w:t>
        <w:tab/>
        <w:tab/>
        <w:tab/>
        <w:tab/>
        <w:tab/>
        <w:t xml:space="preserve">         П.М.ГОРОДЕЧНИЙ</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